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7A0A63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7A0A63" w:rsidRPr="00681236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7A0A63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22F14BC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0A63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63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44BA8092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 С.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 xml:space="preserve"> Цвирко</w:t>
            </w:r>
          </w:p>
        </w:tc>
      </w:tr>
      <w:tr w:rsidR="007A0A63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547B9286" w:rsidR="007A0A63" w:rsidRPr="005209E0" w:rsidRDefault="000F69F2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1EAEE2F6" w:rsidR="004E07E5" w:rsidRDefault="00D823EA" w:rsidP="004E07E5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для переговоров по </w:t>
      </w:r>
      <w:bookmarkStart w:id="0" w:name="_Hlk95726315"/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выбору </w:t>
      </w:r>
      <w:r w:rsidR="00B93332" w:rsidRPr="00B93332">
        <w:rPr>
          <w:rFonts w:ascii="Times New Roman" w:hAnsi="Times New Roman" w:cs="Times New Roman"/>
          <w:b/>
          <w:bCs/>
          <w:sz w:val="26"/>
          <w:szCs w:val="26"/>
        </w:rPr>
        <w:t>подрядной организации</w:t>
      </w:r>
      <w:r w:rsidR="00B933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6DC6A84" w14:textId="4C535D5F" w:rsidR="00D823EA" w:rsidRPr="004E07E5" w:rsidRDefault="004E07E5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 xml:space="preserve">для выполнения 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>комплекса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1926C6">
        <w:rPr>
          <w:rFonts w:ascii="Times New Roman" w:eastAsia="Times New Roman" w:hAnsi="Times New Roman"/>
          <w:b/>
          <w:bCs/>
          <w:sz w:val="26"/>
          <w:szCs w:val="26"/>
        </w:rPr>
        <w:t xml:space="preserve">работ по </w:t>
      </w:r>
      <w:r w:rsidR="00ED074C">
        <w:rPr>
          <w:rFonts w:ascii="Times New Roman" w:eastAsia="Times New Roman" w:hAnsi="Times New Roman"/>
          <w:b/>
          <w:bCs/>
          <w:sz w:val="26"/>
          <w:szCs w:val="26"/>
        </w:rPr>
        <w:t>монтажу металлоконструкций</w:t>
      </w:r>
      <w:r w:rsidR="002A7D7A" w:rsidRPr="0055308E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>при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 xml:space="preserve"> строительстве объекта</w:t>
      </w: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3A4DC9A8" w14:textId="77777777" w:rsidR="00607254" w:rsidRPr="008F08E5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14:paraId="03C159A4" w14:textId="58F2A433" w:rsidR="007A0A63" w:rsidRPr="001A23A2" w:rsidRDefault="001A23A2" w:rsidP="001A23A2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просп.Независимости</w:t>
      </w:r>
      <w:proofErr w:type="spellEnd"/>
      <w:proofErr w:type="gram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просп.Машерова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ул.Красной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ул.Киселёва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в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г.Минске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».  </w:t>
      </w:r>
      <w:r w:rsidR="000F69F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9</w:t>
      </w: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очередь строительства </w:t>
      </w:r>
      <w:r w:rsidR="007A0A63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DAD6840" w14:textId="1CD8AB54" w:rsidR="00446CD7" w:rsidRPr="00446CD7" w:rsidRDefault="00446CD7" w:rsidP="00021F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021F44" w:rsidRPr="00021F44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021F44" w:rsidRPr="00021F44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021F44">
        <w:rPr>
          <w:rFonts w:ascii="Times New Roman" w:hAnsi="Times New Roman" w:cs="Times New Roman"/>
          <w:sz w:val="24"/>
          <w:szCs w:val="24"/>
        </w:rPr>
        <w:t xml:space="preserve"> </w:t>
      </w:r>
      <w:r w:rsidR="00021F44" w:rsidRPr="00021F44">
        <w:rPr>
          <w:rFonts w:ascii="Times New Roman" w:hAnsi="Times New Roman" w:cs="Times New Roman"/>
          <w:sz w:val="24"/>
          <w:szCs w:val="24"/>
        </w:rPr>
        <w:t>+375 (29) 657-32-66</w:t>
      </w:r>
      <w:r w:rsidR="00021F44">
        <w:rPr>
          <w:rFonts w:ascii="Times New Roman" w:hAnsi="Times New Roman" w:cs="Times New Roman"/>
          <w:sz w:val="24"/>
          <w:szCs w:val="24"/>
        </w:rPr>
        <w:t>,</w:t>
      </w:r>
      <w:r w:rsidR="00021F44" w:rsidRPr="00021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F44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="00021F44"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F44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="00021F44"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21F4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021F44" w:rsidRPr="00A67348">
          <w:rPr>
            <w:rStyle w:val="a8"/>
            <w:rFonts w:ascii="Times New Roman" w:hAnsi="Times New Roman" w:cs="Times New Roman"/>
            <w:sz w:val="24"/>
            <w:szCs w:val="24"/>
          </w:rPr>
          <w:t>shumovich@a-100.by</w:t>
        </w:r>
      </w:hyperlink>
    </w:p>
    <w:p w14:paraId="00BF6727" w14:textId="3F171083" w:rsidR="00446CD7" w:rsidRPr="005C516B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D2E30" w:rsidRPr="004D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1A23A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215B1BD" w14:textId="521D95A8" w:rsidR="004A2591" w:rsidRPr="004A2591" w:rsidRDefault="00D823EA" w:rsidP="00824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>2.1. Предметом заказа является выполнение</w:t>
      </w:r>
      <w:r w:rsidR="009D1A3A">
        <w:rPr>
          <w:rFonts w:ascii="Times New Roman" w:hAnsi="Times New Roman" w:cs="Times New Roman"/>
          <w:sz w:val="24"/>
          <w:szCs w:val="24"/>
        </w:rPr>
        <w:t xml:space="preserve"> </w:t>
      </w:r>
      <w:r w:rsidRPr="00253BA3">
        <w:rPr>
          <w:rFonts w:ascii="Times New Roman" w:hAnsi="Times New Roman" w:cs="Times New Roman"/>
          <w:sz w:val="24"/>
          <w:szCs w:val="24"/>
        </w:rPr>
        <w:t xml:space="preserve">работ </w:t>
      </w:r>
      <w:bookmarkStart w:id="2" w:name="_Hlk95723325"/>
      <w:r w:rsidR="00824C62" w:rsidRPr="00824C62">
        <w:rPr>
          <w:rFonts w:ascii="Times New Roman" w:hAnsi="Times New Roman" w:cs="Times New Roman"/>
          <w:sz w:val="24"/>
          <w:szCs w:val="24"/>
        </w:rPr>
        <w:t>выбору подрядной организации для выполнения комплекса</w:t>
      </w:r>
      <w:r w:rsidR="002A7D7A">
        <w:rPr>
          <w:rFonts w:ascii="Times New Roman" w:hAnsi="Times New Roman" w:cs="Times New Roman"/>
          <w:sz w:val="24"/>
          <w:szCs w:val="24"/>
        </w:rPr>
        <w:t xml:space="preserve"> </w:t>
      </w:r>
      <w:r w:rsidR="00495727">
        <w:rPr>
          <w:rFonts w:ascii="Times New Roman" w:hAnsi="Times New Roman" w:cs="Times New Roman"/>
          <w:sz w:val="24"/>
          <w:szCs w:val="24"/>
        </w:rPr>
        <w:t>работ</w:t>
      </w:r>
      <w:r w:rsidR="00495727" w:rsidRPr="00824C62">
        <w:rPr>
          <w:rFonts w:ascii="Times New Roman" w:hAnsi="Times New Roman" w:cs="Times New Roman"/>
          <w:sz w:val="24"/>
          <w:szCs w:val="24"/>
        </w:rPr>
        <w:t xml:space="preserve"> </w:t>
      </w:r>
      <w:r w:rsidR="00ED074C" w:rsidRPr="00ED074C">
        <w:rPr>
          <w:rFonts w:ascii="Times New Roman" w:hAnsi="Times New Roman" w:cs="Times New Roman"/>
          <w:sz w:val="24"/>
          <w:szCs w:val="24"/>
        </w:rPr>
        <w:t xml:space="preserve">по монтажу металлоконструкций </w:t>
      </w:r>
      <w:r w:rsidR="00495727" w:rsidRPr="00824C62">
        <w:rPr>
          <w:rFonts w:ascii="Times New Roman" w:hAnsi="Times New Roman" w:cs="Times New Roman"/>
          <w:sz w:val="24"/>
          <w:szCs w:val="24"/>
        </w:rPr>
        <w:t>при</w:t>
      </w:r>
      <w:r w:rsidR="00824C62" w:rsidRPr="00824C62">
        <w:rPr>
          <w:rFonts w:ascii="Times New Roman" w:hAnsi="Times New Roman" w:cs="Times New Roman"/>
          <w:sz w:val="24"/>
          <w:szCs w:val="24"/>
        </w:rPr>
        <w:t xml:space="preserve"> строительстве объекта:</w:t>
      </w:r>
      <w:r w:rsidR="004A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58E30" w14:textId="6669F022" w:rsidR="00D823EA" w:rsidRDefault="004A2591" w:rsidP="004A2591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30">
        <w:rPr>
          <w:rFonts w:ascii="Times New Roman" w:hAnsi="Times New Roman" w:cs="Times New Roman"/>
        </w:rPr>
        <w:t>«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просп.Независимости</w:t>
      </w:r>
      <w:proofErr w:type="spellEnd"/>
      <w:proofErr w:type="gram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просп.Машерова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ул.Красной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ул.Киселёва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в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г.Минске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».  </w:t>
      </w:r>
      <w:r w:rsidR="000F69F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9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очередь строительства</w:t>
      </w:r>
      <w:r w:rsidR="004D2E30" w:rsidRPr="004D2E30">
        <w:rPr>
          <w:rFonts w:ascii="Times New Roman" w:hAnsi="Times New Roman" w:cs="Times New Roman"/>
          <w:bCs/>
        </w:rPr>
        <w:t xml:space="preserve"> </w:t>
      </w:r>
      <w:r w:rsidR="00D823EA" w:rsidRPr="009D1A3A">
        <w:rPr>
          <w:rFonts w:ascii="Times New Roman" w:hAnsi="Times New Roman" w:cs="Times New Roman"/>
          <w:bCs/>
          <w:sz w:val="24"/>
          <w:szCs w:val="24"/>
        </w:rPr>
        <w:t>(далее – Объект)</w:t>
      </w:r>
      <w:bookmarkEnd w:id="2"/>
    </w:p>
    <w:p w14:paraId="63A82965" w14:textId="49209443" w:rsidR="00097C29" w:rsidRPr="009D1A3A" w:rsidRDefault="00097C29" w:rsidP="009D1A3A">
      <w:pPr>
        <w:pStyle w:val="af2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Краткая характеристика:</w:t>
      </w:r>
    </w:p>
    <w:p w14:paraId="600B5232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Жилой дом №9.1</w:t>
      </w:r>
    </w:p>
    <w:p w14:paraId="2D5D2620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Односекционный, 8-ми этажный жилой дом (8 этаж -мансардный), с скатной крышей.</w:t>
      </w:r>
    </w:p>
    <w:p w14:paraId="4AEEBCA5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Жилой дом №9.2</w:t>
      </w:r>
    </w:p>
    <w:p w14:paraId="43C7E8C6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2D338BC9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Жилой дом №9.3</w:t>
      </w:r>
    </w:p>
    <w:p w14:paraId="2D8672D7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379C5DEF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Жилой дом №9.4</w:t>
      </w:r>
    </w:p>
    <w:p w14:paraId="04CC7551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Односекционный, 7-ми этажный жилой дом (7 этаж -мансардный), с скатной крышей.</w:t>
      </w:r>
    </w:p>
    <w:p w14:paraId="23A2F8F2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Гараж-стоянка №9.5</w:t>
      </w:r>
    </w:p>
    <w:p w14:paraId="19DAA49C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 xml:space="preserve">Объект социально-общественного назначения №9.6 по </w:t>
      </w:r>
      <w:proofErr w:type="spellStart"/>
      <w:r w:rsidRPr="000F69F2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0F69F2">
        <w:rPr>
          <w:rFonts w:ascii="Times New Roman" w:hAnsi="Times New Roman" w:cs="Times New Roman"/>
          <w:sz w:val="24"/>
          <w:szCs w:val="24"/>
        </w:rPr>
        <w:t>.</w:t>
      </w:r>
    </w:p>
    <w:p w14:paraId="64DEF73E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Квартал улиц Красная-Киселёва-Машерова</w:t>
      </w:r>
    </w:p>
    <w:p w14:paraId="56FAB956" w14:textId="77777777" w:rsidR="00495727" w:rsidRPr="009D1A3A" w:rsidRDefault="00495727" w:rsidP="00495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AB0">
        <w:rPr>
          <w:rFonts w:ascii="Times New Roman" w:hAnsi="Times New Roman" w:cs="Times New Roman"/>
          <w:sz w:val="24"/>
          <w:szCs w:val="24"/>
        </w:rPr>
        <w:t>Класс сложности – 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7AB0">
        <w:rPr>
          <w:rFonts w:ascii="Times New Roman" w:hAnsi="Times New Roman" w:cs="Times New Roman"/>
          <w:sz w:val="24"/>
          <w:szCs w:val="24"/>
        </w:rPr>
        <w:t xml:space="preserve"> в соответствии с СТБ 2331-2015</w:t>
      </w:r>
    </w:p>
    <w:p w14:paraId="6FCE573A" w14:textId="77777777" w:rsidR="004D2E30" w:rsidRDefault="004D2E30" w:rsidP="0009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EE712" w14:textId="69404E30" w:rsidR="009D1A3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3F9EB2FD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№1</w:t>
      </w:r>
    </w:p>
    <w:p w14:paraId="46457D2F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Комплекс работ по устройству металлоконструкций жилого дома 9.1:</w:t>
      </w:r>
    </w:p>
    <w:p w14:paraId="72E055C7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lastRenderedPageBreak/>
        <w:t>Лот №2</w:t>
      </w:r>
    </w:p>
    <w:p w14:paraId="2347AE1A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Комплекс работ по устройству металлоконструкций жилого дома 9.2;</w:t>
      </w:r>
    </w:p>
    <w:p w14:paraId="0FEEEA33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№3</w:t>
      </w:r>
    </w:p>
    <w:p w14:paraId="5B9B5655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Комплекс работ по устройству металлоконструкций жилого дома 9.3;</w:t>
      </w:r>
    </w:p>
    <w:p w14:paraId="714BD05F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№4</w:t>
      </w:r>
    </w:p>
    <w:p w14:paraId="63047C2D" w14:textId="19F7A521" w:rsid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Комплекс работ по устройству металлоконструкций жилого дома 9.4;</w:t>
      </w:r>
    </w:p>
    <w:p w14:paraId="4C86A4DA" w14:textId="77777777" w:rsid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F85929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Комплексы работ, поручаемые претендентам для определения стоимости предложения, должны рассчитываться в полном объёме согласно приложенной проектной документации:</w:t>
      </w:r>
    </w:p>
    <w:p w14:paraId="576723C7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№1</w:t>
      </w:r>
    </w:p>
    <w:p w14:paraId="2AD475CA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П-12/23-9.1-АР;</w:t>
      </w:r>
    </w:p>
    <w:p w14:paraId="33B7A0D3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П-12/23-9.1-АР1 изм1;</w:t>
      </w:r>
    </w:p>
    <w:p w14:paraId="26A17B59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П1223-9.1-КМ (Изм. 2)</w:t>
      </w:r>
    </w:p>
    <w:p w14:paraId="1C05BDC1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D6656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№2</w:t>
      </w:r>
    </w:p>
    <w:p w14:paraId="6B5BC72F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П-12/23-9.2-АР;</w:t>
      </w:r>
    </w:p>
    <w:p w14:paraId="3AF53D07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П-12/23-9.2-АР1 изм1;</w:t>
      </w:r>
    </w:p>
    <w:p w14:paraId="6D32FF32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П1223-9.2-КМ (Изм. 1)</w:t>
      </w:r>
    </w:p>
    <w:p w14:paraId="58751035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FBA297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№3</w:t>
      </w:r>
    </w:p>
    <w:p w14:paraId="59992C75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П-12/23-9.3-АР;</w:t>
      </w:r>
    </w:p>
    <w:p w14:paraId="644B67C8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П-12/23-9.3-АР1 изм.1;</w:t>
      </w:r>
    </w:p>
    <w:p w14:paraId="3BD95759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П1223-9.3-КМ (Изм. 1)</w:t>
      </w:r>
    </w:p>
    <w:p w14:paraId="1BF8B632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24CDE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№4</w:t>
      </w:r>
    </w:p>
    <w:p w14:paraId="4EFBBD09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П-12/23-9.4-АР;</w:t>
      </w:r>
    </w:p>
    <w:p w14:paraId="2A8FDAB0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П-12/23-9.4-АР1 изм.1;</w:t>
      </w:r>
    </w:p>
    <w:p w14:paraId="6BC5524C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П1223-9.4-КМ изм. 1;</w:t>
      </w:r>
    </w:p>
    <w:p w14:paraId="326DCD29" w14:textId="0BF32EF0" w:rsidR="00052098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- П1223-9.4-КМ;</w:t>
      </w:r>
    </w:p>
    <w:p w14:paraId="4CBB46E8" w14:textId="77777777" w:rsidR="00495727" w:rsidRPr="002A7D7A" w:rsidRDefault="00495727" w:rsidP="002A7D7A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5723424"/>
    </w:p>
    <w:bookmarkEnd w:id="3"/>
    <w:p w14:paraId="21296C1B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При подготовке ценового предложения претендент обязан:</w:t>
      </w:r>
    </w:p>
    <w:p w14:paraId="4D251848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 учесть в ценовом предложении средства в размере 4% от стоимости строительно-монтажных работ с учетом стоимости материалов, изделий конструкций (</w:t>
      </w:r>
      <w:proofErr w:type="spellStart"/>
      <w:r w:rsidRPr="00ED074C">
        <w:rPr>
          <w:rFonts w:ascii="Times New Roman" w:hAnsi="Times New Roman" w:cs="Times New Roman"/>
          <w:bCs/>
          <w:sz w:val="24"/>
          <w:szCs w:val="24"/>
        </w:rPr>
        <w:t>генуслуги</w:t>
      </w:r>
      <w:proofErr w:type="spellEnd"/>
      <w:r w:rsidRPr="00ED074C">
        <w:rPr>
          <w:rFonts w:ascii="Times New Roman" w:hAnsi="Times New Roman" w:cs="Times New Roman"/>
          <w:bCs/>
          <w:sz w:val="24"/>
          <w:szCs w:val="24"/>
        </w:rPr>
        <w:t xml:space="preserve">). Генподрядчик при заключении договора субподряда с </w:t>
      </w:r>
      <w:proofErr w:type="spellStart"/>
      <w:r w:rsidRPr="00ED074C">
        <w:rPr>
          <w:rFonts w:ascii="Times New Roman" w:hAnsi="Times New Roman" w:cs="Times New Roman"/>
          <w:bCs/>
          <w:sz w:val="24"/>
          <w:szCs w:val="24"/>
        </w:rPr>
        <w:t>учасником</w:t>
      </w:r>
      <w:proofErr w:type="spellEnd"/>
      <w:r w:rsidRPr="00ED074C">
        <w:rPr>
          <w:rFonts w:ascii="Times New Roman" w:hAnsi="Times New Roman" w:cs="Times New Roman"/>
          <w:bCs/>
          <w:sz w:val="24"/>
          <w:szCs w:val="24"/>
        </w:rPr>
        <w:t xml:space="preserve">-победителем Рыночного </w:t>
      </w:r>
      <w:proofErr w:type="spellStart"/>
      <w:r w:rsidRPr="00ED074C">
        <w:rPr>
          <w:rFonts w:ascii="Times New Roman" w:hAnsi="Times New Roman" w:cs="Times New Roman"/>
          <w:bCs/>
          <w:sz w:val="24"/>
          <w:szCs w:val="24"/>
        </w:rPr>
        <w:t>иследования</w:t>
      </w:r>
      <w:proofErr w:type="spellEnd"/>
      <w:r w:rsidRPr="00ED074C">
        <w:rPr>
          <w:rFonts w:ascii="Times New Roman" w:hAnsi="Times New Roman" w:cs="Times New Roman"/>
          <w:bCs/>
          <w:sz w:val="24"/>
          <w:szCs w:val="24"/>
        </w:rPr>
        <w:t xml:space="preserve"> применяет к цене, предложенной участником-победителем, а также к стоимости выполняемых таким участником-победителем Рыночного исследования дополнительных работ, коэффициент 0,96. При этом 4.0 % от согласованной Заказчиком стоимости строительно-монтажных работ, в том числе от стоимости дополнительных работ, остается в распоряжении Генподрядчика (УП «СУ №21 ОАО «</w:t>
      </w:r>
      <w:proofErr w:type="spellStart"/>
      <w:r w:rsidRPr="00ED074C">
        <w:rPr>
          <w:rFonts w:ascii="Times New Roman" w:hAnsi="Times New Roman" w:cs="Times New Roman"/>
          <w:bCs/>
          <w:sz w:val="24"/>
          <w:szCs w:val="24"/>
        </w:rPr>
        <w:t>Минскпромстрой</w:t>
      </w:r>
      <w:proofErr w:type="spellEnd"/>
      <w:r w:rsidRPr="00ED074C">
        <w:rPr>
          <w:rFonts w:ascii="Times New Roman" w:hAnsi="Times New Roman" w:cs="Times New Roman"/>
          <w:bCs/>
          <w:sz w:val="24"/>
          <w:szCs w:val="24"/>
        </w:rPr>
        <w:t>») как разница между ценой, указанной в Специальном соглашении с Заказчиком, и ценой заключаемого Генподрядчиком с согласованной субподрядной организацией договора строительного субподряда (включая стоимость дополнительных работ). При этом генеральный подрядчик оказывает полный комплекс услуг генерального подрядчика без взимания платы из цены претендента (субподрядчика).</w:t>
      </w:r>
    </w:p>
    <w:p w14:paraId="23215F25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4BD1E0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 xml:space="preserve">- обеспечить в пределах цены предложения разработку конструкторской документации (КМД), необходимой для своевременного изготовления изделий,  а также обеспечить разработку узлов их установки и крепления, с обязательным согласованием данной документации и всех изменений с проектным институтом ОДО </w:t>
      </w:r>
      <w:r w:rsidRPr="00ED074C">
        <w:rPr>
          <w:rFonts w:ascii="Times New Roman" w:hAnsi="Times New Roman" w:cs="Times New Roman"/>
          <w:bCs/>
          <w:sz w:val="24"/>
          <w:szCs w:val="24"/>
        </w:rPr>
        <w:lastRenderedPageBreak/>
        <w:t>«ЭНЭКА», представителями Заказчика, Генподрядчика УП «СУ-21 ОАО «</w:t>
      </w:r>
      <w:proofErr w:type="spellStart"/>
      <w:r w:rsidRPr="00ED074C">
        <w:rPr>
          <w:rFonts w:ascii="Times New Roman" w:hAnsi="Times New Roman" w:cs="Times New Roman"/>
          <w:bCs/>
          <w:sz w:val="24"/>
          <w:szCs w:val="24"/>
        </w:rPr>
        <w:t>Минскпромстрой</w:t>
      </w:r>
      <w:proofErr w:type="spellEnd"/>
      <w:r w:rsidRPr="00ED074C">
        <w:rPr>
          <w:rFonts w:ascii="Times New Roman" w:hAnsi="Times New Roman" w:cs="Times New Roman"/>
          <w:bCs/>
          <w:sz w:val="24"/>
          <w:szCs w:val="24"/>
        </w:rPr>
        <w:t xml:space="preserve">», разработчиком КМД по фасадным работами по металлоконструкциям (для фасадных рам); Срок разработки </w:t>
      </w:r>
      <w:proofErr w:type="spellStart"/>
      <w:r w:rsidRPr="00ED074C">
        <w:rPr>
          <w:rFonts w:ascii="Times New Roman" w:hAnsi="Times New Roman" w:cs="Times New Roman"/>
          <w:bCs/>
          <w:sz w:val="24"/>
          <w:szCs w:val="24"/>
        </w:rPr>
        <w:t>деталировочных</w:t>
      </w:r>
      <w:proofErr w:type="spellEnd"/>
      <w:r w:rsidRPr="00ED074C">
        <w:rPr>
          <w:rFonts w:ascii="Times New Roman" w:hAnsi="Times New Roman" w:cs="Times New Roman"/>
          <w:bCs/>
          <w:sz w:val="24"/>
          <w:szCs w:val="24"/>
        </w:rPr>
        <w:t xml:space="preserve"> чертежей изделий и передача на согласование Заказчику – 14 календарных дней с момента подписания договора.</w:t>
      </w:r>
    </w:p>
    <w:p w14:paraId="41BF6A7F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Стоимость предложения должна учитывать:</w:t>
      </w:r>
    </w:p>
    <w:p w14:paraId="67656818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 стоимость изготовления и монтажа фасадных рам;</w:t>
      </w:r>
    </w:p>
    <w:p w14:paraId="38575861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-стоимость изготовления и монтажа опор под кондиционеры;</w:t>
      </w:r>
    </w:p>
    <w:p w14:paraId="09E65E27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-стоимость изготовления и монтажа балок подвесных путей;</w:t>
      </w:r>
    </w:p>
    <w:p w14:paraId="65B6BAA2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-стоимость изготовления и монтажа каркасов перегородок с дверью;</w:t>
      </w:r>
    </w:p>
    <w:p w14:paraId="2E22C918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-стоимость изготовления и монтажа площадок металлических;</w:t>
      </w:r>
    </w:p>
    <w:p w14:paraId="07897B4F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-стоимость изготовления и монтажа крепления груши;</w:t>
      </w:r>
    </w:p>
    <w:p w14:paraId="404C3428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-стоимость изготовления и монтажа элемента крепления обратного клапана;</w:t>
      </w:r>
    </w:p>
    <w:p w14:paraId="4679ADAF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 учесть разгрузку и доставку;</w:t>
      </w:r>
    </w:p>
    <w:p w14:paraId="4508F388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-учесть полный объём работ при выполнении данного комплекса (изготовление, сборка, монтаж, антикоррозионная обработка);</w:t>
      </w:r>
    </w:p>
    <w:p w14:paraId="037383E6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-учесть антикоррозионную обработку в соответствии с требованиями ПСД. В случае необходимости цинкования нанесение выполняется методом горячего цинкования;</w:t>
      </w:r>
    </w:p>
    <w:p w14:paraId="0197B9B8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-работы выполнять в соответствии с технологическими картами;</w:t>
      </w:r>
    </w:p>
    <w:p w14:paraId="34BC6CEF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- Поставщик обязуется передать:</w:t>
      </w:r>
    </w:p>
    <w:p w14:paraId="3BABE34B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 xml:space="preserve">полный пакет исполнительной документации в соответствии с требованиями нормативных документов Республики Беларусь (сертификаты соответствия, декларации о соответствии, паспорта, </w:t>
      </w:r>
      <w:proofErr w:type="spellStart"/>
      <w:r w:rsidRPr="00ED074C">
        <w:rPr>
          <w:rFonts w:ascii="Times New Roman" w:hAnsi="Times New Roman" w:cs="Times New Roman"/>
          <w:bCs/>
          <w:sz w:val="24"/>
          <w:szCs w:val="24"/>
        </w:rPr>
        <w:t>аты</w:t>
      </w:r>
      <w:proofErr w:type="spellEnd"/>
      <w:r w:rsidRPr="00ED074C">
        <w:rPr>
          <w:rFonts w:ascii="Times New Roman" w:hAnsi="Times New Roman" w:cs="Times New Roman"/>
          <w:bCs/>
          <w:sz w:val="24"/>
          <w:szCs w:val="24"/>
        </w:rPr>
        <w:t xml:space="preserve">, журналы и др.), на русском языке. </w:t>
      </w:r>
    </w:p>
    <w:p w14:paraId="4C3B8AC0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Организация, выигравшая переговоры, заключает договор подряда (субподряда) с Генеральным подрядчиком УП «СУ-21 ОАО «</w:t>
      </w:r>
      <w:proofErr w:type="spellStart"/>
      <w:r w:rsidRPr="00ED074C">
        <w:rPr>
          <w:rFonts w:ascii="Times New Roman" w:hAnsi="Times New Roman" w:cs="Times New Roman"/>
          <w:bCs/>
          <w:sz w:val="24"/>
          <w:szCs w:val="24"/>
        </w:rPr>
        <w:t>Минскпромстрой</w:t>
      </w:r>
      <w:proofErr w:type="spellEnd"/>
      <w:r w:rsidRPr="00ED074C">
        <w:rPr>
          <w:rFonts w:ascii="Times New Roman" w:hAnsi="Times New Roman" w:cs="Times New Roman"/>
          <w:bCs/>
          <w:sz w:val="24"/>
          <w:szCs w:val="24"/>
        </w:rPr>
        <w:t>». (проект договора субподряда прилагается)</w:t>
      </w:r>
    </w:p>
    <w:p w14:paraId="2346C975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AB61F2" w14:textId="77777777" w:rsidR="00ED074C" w:rsidRPr="00ED074C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 xml:space="preserve">Организация, выигравшая переговоры, обязуется разработать и согласовать КМД в течение 30 календарных дней с даты подписания договора. </w:t>
      </w:r>
    </w:p>
    <w:p w14:paraId="32F80F88" w14:textId="62D975F3" w:rsidR="000F69F2" w:rsidRPr="000F69F2" w:rsidRDefault="00ED074C" w:rsidP="00ED074C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4C">
        <w:rPr>
          <w:rFonts w:ascii="Times New Roman" w:hAnsi="Times New Roman" w:cs="Times New Roman"/>
          <w:bCs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627E35A8" w14:textId="39BC66DC" w:rsidR="00D823EA" w:rsidRPr="005209E0" w:rsidRDefault="00D823EA" w:rsidP="000F69F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proofErr w:type="spellStart"/>
      <w:r w:rsidR="006E1F30">
        <w:rPr>
          <w:rFonts w:ascii="Times New Roman" w:hAnsi="Times New Roman"/>
          <w:sz w:val="24"/>
          <w:szCs w:val="24"/>
        </w:rPr>
        <w:t>г.Минск</w:t>
      </w:r>
      <w:proofErr w:type="spellEnd"/>
      <w:r w:rsidR="006E1F30">
        <w:rPr>
          <w:rFonts w:ascii="Times New Roman" w:hAnsi="Times New Roman"/>
          <w:sz w:val="24"/>
          <w:szCs w:val="24"/>
        </w:rPr>
        <w:t xml:space="preserve">, квартал </w:t>
      </w:r>
      <w:proofErr w:type="spellStart"/>
      <w:proofErr w:type="gram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просп.Независимости</w:t>
      </w:r>
      <w:proofErr w:type="spellEnd"/>
      <w:proofErr w:type="gram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просп.Машерова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ул.Красной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ул.Киселёва</w:t>
      </w:r>
      <w:proofErr w:type="spellEnd"/>
    </w:p>
    <w:p w14:paraId="1EDD5BE1" w14:textId="4ADEB23D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14:paraId="5C68BB08" w14:textId="38DBF8D3" w:rsidR="000F69F2" w:rsidRDefault="000F69F2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F0B1F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 xml:space="preserve">Срок поставки и оказания услуг: </w:t>
      </w:r>
    </w:p>
    <w:p w14:paraId="52DA5CFB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№1 (Жилой дом №9.1):</w:t>
      </w:r>
    </w:p>
    <w:p w14:paraId="1E2DF648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Начало работ: 01.10.25;</w:t>
      </w:r>
    </w:p>
    <w:p w14:paraId="644DED9D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Окончание работ: 30.11.25;</w:t>
      </w:r>
    </w:p>
    <w:p w14:paraId="1CA1887D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FDDED3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№2 (Жилой дом №9.2):</w:t>
      </w:r>
    </w:p>
    <w:p w14:paraId="555A466D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Начало работ: 15.09.25;</w:t>
      </w:r>
    </w:p>
    <w:p w14:paraId="034CB485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Окончание работ: 30.10.25;</w:t>
      </w:r>
    </w:p>
    <w:p w14:paraId="30B5FB87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7F4023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№3 (Жилой дом №9.3):</w:t>
      </w:r>
    </w:p>
    <w:p w14:paraId="3CCC643E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Начало работ: 01.09.25;</w:t>
      </w:r>
    </w:p>
    <w:p w14:paraId="082E7D16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Окончание работ: 15.10.25;</w:t>
      </w:r>
    </w:p>
    <w:p w14:paraId="7A81714E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E4C601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Лот №4 (Жилой дом №9.4):</w:t>
      </w:r>
    </w:p>
    <w:p w14:paraId="2D8CFA31" w14:textId="77777777" w:rsidR="00ED074C" w:rsidRPr="00ED074C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t>Начало работ: 01.09.25;</w:t>
      </w:r>
    </w:p>
    <w:p w14:paraId="7754BE27" w14:textId="4E262635" w:rsidR="00B4350D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4C">
        <w:rPr>
          <w:rFonts w:ascii="Times New Roman" w:hAnsi="Times New Roman" w:cs="Times New Roman"/>
          <w:sz w:val="24"/>
          <w:szCs w:val="24"/>
        </w:rPr>
        <w:lastRenderedPageBreak/>
        <w:t>Окончание работ: 15.10.25;</w:t>
      </w:r>
    </w:p>
    <w:p w14:paraId="2894A30F" w14:textId="77777777" w:rsidR="00ED074C" w:rsidRPr="00B4350D" w:rsidRDefault="00ED074C" w:rsidP="00ED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E5851A" w14:textId="77777777" w:rsidR="000F69F2" w:rsidRDefault="000F69F2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A8528" w14:textId="6AD8A73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21A29DDD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768EE360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2B5CDA3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39ED87A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2FE3C09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F60863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450A0DFA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DC6FE6C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61B3D77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4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5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6A37657F" w14:textId="4E04D055" w:rsidR="00053FB6" w:rsidRPr="005209E0" w:rsidRDefault="00053FB6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95724162"/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6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5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7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01F003BF" w:rsidR="001967DD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1</w:t>
      </w:r>
      <w:r w:rsidR="00501CAE">
        <w:rPr>
          <w:rFonts w:ascii="Times New Roman" w:hAnsi="Times New Roman"/>
          <w:b/>
          <w:bCs/>
          <w:sz w:val="24"/>
          <w:szCs w:val="24"/>
        </w:rPr>
        <w:t>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50D" w:rsidRPr="00B4350D">
        <w:rPr>
          <w:rFonts w:ascii="Times New Roman" w:hAnsi="Times New Roman"/>
          <w:b/>
          <w:bCs/>
          <w:sz w:val="24"/>
          <w:szCs w:val="24"/>
        </w:rPr>
        <w:t>30</w:t>
      </w:r>
      <w:r w:rsidRPr="00B43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350D" w:rsidRPr="00B4350D">
        <w:rPr>
          <w:rFonts w:ascii="Times New Roman" w:hAnsi="Times New Roman" w:cs="Times New Roman"/>
          <w:b/>
          <w:bCs/>
          <w:sz w:val="24"/>
          <w:szCs w:val="24"/>
        </w:rPr>
        <w:t>05.2025</w:t>
      </w:r>
      <w:r w:rsidR="00B4350D">
        <w:rPr>
          <w:rFonts w:ascii="Times New Roman" w:hAnsi="Times New Roman" w:cs="Times New Roman"/>
          <w:sz w:val="24"/>
          <w:szCs w:val="24"/>
        </w:rPr>
        <w:t xml:space="preserve"> </w:t>
      </w:r>
      <w:r w:rsidRPr="008A2533">
        <w:rPr>
          <w:rFonts w:ascii="Times New Roman" w:hAnsi="Times New Roman" w:cs="Times New Roman"/>
          <w:sz w:val="24"/>
          <w:szCs w:val="24"/>
        </w:rPr>
        <w:t xml:space="preserve">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данные для </w:t>
      </w:r>
      <w:proofErr w:type="gramStart"/>
      <w:r w:rsidR="001967DD" w:rsidRPr="005209E0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283C44DE" w:rsidR="001967DD" w:rsidRPr="00B058A6" w:rsidRDefault="001967DD" w:rsidP="001967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350D">
        <w:rPr>
          <w:rFonts w:ascii="Times New Roman" w:hAnsi="Times New Roman"/>
          <w:b/>
          <w:bCs/>
          <w:sz w:val="24"/>
          <w:szCs w:val="24"/>
        </w:rPr>
        <w:t>16.06.2025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8" w:name="_Hlk95730891"/>
      <w:r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Pr="001F71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8"/>
    <w:p w14:paraId="0854F91E" w14:textId="77777777" w:rsidR="00D823EA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7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9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9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</w:t>
      </w:r>
      <w:r w:rsidRPr="005209E0">
        <w:rPr>
          <w:rFonts w:ascii="Times New Roman" w:hAnsi="Times New Roman"/>
          <w:sz w:val="24"/>
          <w:szCs w:val="24"/>
        </w:rPr>
        <w:lastRenderedPageBreak/>
        <w:t>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10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38"/>
      <w:bookmarkEnd w:id="10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11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проведения, и не обязан мотивировать принятое им решение представившим предложения участникам. </w:t>
      </w:r>
    </w:p>
    <w:bookmarkEnd w:id="12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3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3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4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5A18D2F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A87A3A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</w:t>
      </w:r>
      <w:proofErr w:type="gramStart"/>
      <w:r w:rsidRPr="005209E0">
        <w:rPr>
          <w:rFonts w:ascii="Times New Roman" w:hAnsi="Times New Roman"/>
          <w:sz w:val="24"/>
          <w:szCs w:val="24"/>
        </w:rPr>
        <w:t>Банк»  (</w:t>
      </w:r>
      <w:proofErr w:type="gramEnd"/>
      <w:r w:rsidRPr="005209E0">
        <w:rPr>
          <w:rFonts w:ascii="Times New Roman" w:hAnsi="Times New Roman"/>
          <w:sz w:val="24"/>
          <w:szCs w:val="24"/>
        </w:rPr>
        <w:t>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4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7FE2B202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0F69F2">
        <w:rPr>
          <w:rFonts w:ascii="Times New Roman" w:hAnsi="Times New Roman"/>
          <w:sz w:val="24"/>
          <w:szCs w:val="24"/>
        </w:rPr>
        <w:t>23.05.2025</w:t>
      </w:r>
      <w:r>
        <w:rPr>
          <w:rFonts w:ascii="Times New Roman" w:hAnsi="Times New Roman"/>
          <w:sz w:val="24"/>
          <w:szCs w:val="24"/>
        </w:rPr>
        <w:t>года.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Pr="00ED074C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1F44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2098"/>
    <w:rsid w:val="00053FB6"/>
    <w:rsid w:val="00056298"/>
    <w:rsid w:val="000645AB"/>
    <w:rsid w:val="000705CA"/>
    <w:rsid w:val="0007446C"/>
    <w:rsid w:val="000749C9"/>
    <w:rsid w:val="00075940"/>
    <w:rsid w:val="00075D44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0F69F2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26C6"/>
    <w:rsid w:val="001967DD"/>
    <w:rsid w:val="001A23A2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A7D7A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7478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5727"/>
    <w:rsid w:val="00497E5D"/>
    <w:rsid w:val="004A0950"/>
    <w:rsid w:val="004A2591"/>
    <w:rsid w:val="004A4E0F"/>
    <w:rsid w:val="004A58B4"/>
    <w:rsid w:val="004B49AB"/>
    <w:rsid w:val="004B6C20"/>
    <w:rsid w:val="004C6AF4"/>
    <w:rsid w:val="004D1140"/>
    <w:rsid w:val="004D2E30"/>
    <w:rsid w:val="004E07E5"/>
    <w:rsid w:val="004E234A"/>
    <w:rsid w:val="004E5036"/>
    <w:rsid w:val="004F09D7"/>
    <w:rsid w:val="004F3DFD"/>
    <w:rsid w:val="00501CAE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3116"/>
    <w:rsid w:val="006B59AD"/>
    <w:rsid w:val="006C7191"/>
    <w:rsid w:val="006C7E82"/>
    <w:rsid w:val="006D33FD"/>
    <w:rsid w:val="006D372F"/>
    <w:rsid w:val="006D46E5"/>
    <w:rsid w:val="006D497C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87A3A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350D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354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74C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6FC0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umovich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0D24DFD5-29F9-47C6-A2C8-C34A0BFFD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11</cp:revision>
  <cp:lastPrinted>2019-10-28T14:29:00Z</cp:lastPrinted>
  <dcterms:created xsi:type="dcterms:W3CDTF">2023-02-13T06:58:00Z</dcterms:created>
  <dcterms:modified xsi:type="dcterms:W3CDTF">2025-06-10T10:21:00Z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